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eastAsia"/>
          <w:b/>
          <w:bCs/>
          <w:sz w:val="40"/>
          <w:szCs w:val="48"/>
        </w:rPr>
      </w:pP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0"/>
          <w:szCs w:val="48"/>
        </w:rPr>
        <w:t>申报表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eastAsia"/>
          <w:b/>
          <w:bCs/>
          <w:sz w:val="40"/>
          <w:szCs w:val="48"/>
        </w:rPr>
      </w:pPr>
    </w:p>
    <w:tbl>
      <w:tblPr>
        <w:tblStyle w:val="3"/>
        <w:tblW w:w="961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125"/>
        <w:gridCol w:w="1455"/>
        <w:gridCol w:w="1230"/>
        <w:gridCol w:w="1275"/>
        <w:gridCol w:w="118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2" w:type="dxa"/>
            <w:gridSpan w:val="7"/>
            <w:shd w:val="clear" w:color="auto" w:fill="auto"/>
            <w:vAlign w:val="top"/>
          </w:tcPr>
          <w:p>
            <w:pPr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“201</w:t>
            </w:r>
            <w:r>
              <w:rPr>
                <w:rFonts w:hint="eastAsia" w:ascii="黑体" w:hAnsi="黑体" w:eastAsia="黑体"/>
                <w:b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年度新闻评选”申报材料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top"/>
          </w:tcPr>
          <w:p>
            <w:pPr>
              <w:ind w:left="-850" w:leftChars="-40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申报奖项</w:t>
            </w:r>
          </w:p>
        </w:tc>
        <w:tc>
          <w:tcPr>
            <w:tcW w:w="1125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申报人</w:t>
            </w:r>
          </w:p>
        </w:tc>
        <w:tc>
          <w:tcPr>
            <w:tcW w:w="1455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作品内容</w:t>
            </w:r>
          </w:p>
        </w:tc>
        <w:tc>
          <w:tcPr>
            <w:tcW w:w="12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作品标题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作品链接（院网）</w:t>
            </w: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ind w:right="-1667" w:rightChars="-794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作品链接</w:t>
            </w:r>
          </w:p>
          <w:p>
            <w:pPr>
              <w:ind w:right="-1667" w:rightChars="-79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（校媒）</w:t>
            </w:r>
          </w:p>
        </w:tc>
        <w:tc>
          <w:tcPr>
            <w:tcW w:w="1215" w:type="dxa"/>
            <w:shd w:val="clear" w:color="auto" w:fill="auto"/>
            <w:vAlign w:val="top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作品链接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（外媒）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年度优秀新闻图片</w:t>
            </w:r>
          </w:p>
        </w:tc>
        <w:tc>
          <w:tcPr>
            <w:tcW w:w="1125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XXX</w:t>
            </w:r>
          </w:p>
        </w:tc>
        <w:tc>
          <w:tcPr>
            <w:tcW w:w="1455" w:type="dxa"/>
            <w:shd w:val="clear" w:color="auto" w:fill="auto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时间 活动名</w:t>
            </w:r>
          </w:p>
        </w:tc>
        <w:tc>
          <w:tcPr>
            <w:tcW w:w="1230" w:type="dxa"/>
            <w:shd w:val="clear" w:color="auto" w:fill="auto"/>
            <w:vAlign w:val="top"/>
          </w:tcPr>
          <w:p/>
        </w:tc>
        <w:tc>
          <w:tcPr>
            <w:tcW w:w="1275" w:type="dxa"/>
            <w:shd w:val="clear" w:color="auto" w:fill="auto"/>
            <w:vAlign w:val="top"/>
          </w:tcPr>
          <w:p/>
        </w:tc>
        <w:tc>
          <w:tcPr>
            <w:tcW w:w="1185" w:type="dxa"/>
            <w:shd w:val="clear" w:color="auto" w:fill="auto"/>
            <w:vAlign w:val="top"/>
          </w:tcPr>
          <w:p>
            <w:pPr>
              <w:ind w:right="-1667" w:rightChars="-794"/>
            </w:pPr>
          </w:p>
        </w:tc>
        <w:tc>
          <w:tcPr>
            <w:tcW w:w="1215" w:type="dxa"/>
            <w:shd w:val="clear" w:color="auto" w:fill="auto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年度十大新闻</w:t>
            </w:r>
          </w:p>
        </w:tc>
        <w:tc>
          <w:tcPr>
            <w:tcW w:w="1125" w:type="dxa"/>
            <w:shd w:val="clear" w:color="auto" w:fill="auto"/>
            <w:vAlign w:val="top"/>
          </w:tcPr>
          <w:p/>
        </w:tc>
        <w:tc>
          <w:tcPr>
            <w:tcW w:w="1455" w:type="dxa"/>
            <w:shd w:val="clear" w:color="auto" w:fill="auto"/>
            <w:vAlign w:val="top"/>
          </w:tcPr>
          <w:p/>
        </w:tc>
        <w:tc>
          <w:tcPr>
            <w:tcW w:w="1230" w:type="dxa"/>
            <w:shd w:val="clear" w:color="auto" w:fill="auto"/>
            <w:vAlign w:val="top"/>
          </w:tcPr>
          <w:p/>
        </w:tc>
        <w:tc>
          <w:tcPr>
            <w:tcW w:w="1275" w:type="dxa"/>
            <w:shd w:val="clear" w:color="auto" w:fill="auto"/>
            <w:vAlign w:val="top"/>
          </w:tcPr>
          <w:p/>
        </w:tc>
        <w:tc>
          <w:tcPr>
            <w:tcW w:w="1185" w:type="dxa"/>
            <w:shd w:val="clear" w:color="auto" w:fill="auto"/>
            <w:vAlign w:val="top"/>
          </w:tcPr>
          <w:p>
            <w:pPr>
              <w:ind w:right="-1667" w:rightChars="-794"/>
            </w:pPr>
          </w:p>
        </w:tc>
        <w:tc>
          <w:tcPr>
            <w:tcW w:w="1215" w:type="dxa"/>
            <w:shd w:val="clear" w:color="auto" w:fill="auto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top"/>
          </w:tcPr>
          <w:p>
            <w:pPr>
              <w:ind w:left="-283" w:leftChars="-135"/>
            </w:pPr>
          </w:p>
        </w:tc>
        <w:tc>
          <w:tcPr>
            <w:tcW w:w="1125" w:type="dxa"/>
            <w:shd w:val="clear" w:color="auto" w:fill="auto"/>
            <w:vAlign w:val="top"/>
          </w:tcPr>
          <w:p/>
        </w:tc>
        <w:tc>
          <w:tcPr>
            <w:tcW w:w="1455" w:type="dxa"/>
            <w:shd w:val="clear" w:color="auto" w:fill="auto"/>
            <w:vAlign w:val="top"/>
          </w:tcPr>
          <w:p/>
        </w:tc>
        <w:tc>
          <w:tcPr>
            <w:tcW w:w="1230" w:type="dxa"/>
            <w:shd w:val="clear" w:color="auto" w:fill="auto"/>
            <w:vAlign w:val="top"/>
          </w:tcPr>
          <w:p/>
        </w:tc>
        <w:tc>
          <w:tcPr>
            <w:tcW w:w="1275" w:type="dxa"/>
            <w:shd w:val="clear" w:color="auto" w:fill="auto"/>
            <w:vAlign w:val="top"/>
          </w:tcPr>
          <w:p/>
        </w:tc>
        <w:tc>
          <w:tcPr>
            <w:tcW w:w="1185" w:type="dxa"/>
            <w:shd w:val="clear" w:color="auto" w:fill="auto"/>
            <w:vAlign w:val="top"/>
          </w:tcPr>
          <w:p>
            <w:pPr>
              <w:ind w:right="-1667" w:rightChars="-794"/>
            </w:pPr>
          </w:p>
        </w:tc>
        <w:tc>
          <w:tcPr>
            <w:tcW w:w="1215" w:type="dxa"/>
            <w:shd w:val="clear" w:color="auto" w:fill="auto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top"/>
          </w:tcPr>
          <w:p>
            <w:pPr>
              <w:ind w:left="-283" w:leftChars="-135"/>
            </w:pPr>
          </w:p>
        </w:tc>
        <w:tc>
          <w:tcPr>
            <w:tcW w:w="1125" w:type="dxa"/>
            <w:shd w:val="clear" w:color="auto" w:fill="auto"/>
            <w:vAlign w:val="top"/>
          </w:tcPr>
          <w:p/>
        </w:tc>
        <w:tc>
          <w:tcPr>
            <w:tcW w:w="1455" w:type="dxa"/>
            <w:shd w:val="clear" w:color="auto" w:fill="auto"/>
            <w:vAlign w:val="top"/>
          </w:tcPr>
          <w:p/>
        </w:tc>
        <w:tc>
          <w:tcPr>
            <w:tcW w:w="1230" w:type="dxa"/>
            <w:shd w:val="clear" w:color="auto" w:fill="auto"/>
            <w:vAlign w:val="top"/>
          </w:tcPr>
          <w:p/>
        </w:tc>
        <w:tc>
          <w:tcPr>
            <w:tcW w:w="1275" w:type="dxa"/>
            <w:shd w:val="clear" w:color="auto" w:fill="auto"/>
            <w:vAlign w:val="top"/>
          </w:tcPr>
          <w:p/>
        </w:tc>
        <w:tc>
          <w:tcPr>
            <w:tcW w:w="1185" w:type="dxa"/>
            <w:shd w:val="clear" w:color="auto" w:fill="auto"/>
            <w:vAlign w:val="top"/>
          </w:tcPr>
          <w:p>
            <w:pPr>
              <w:ind w:right="-1667" w:rightChars="-794"/>
            </w:pPr>
          </w:p>
        </w:tc>
        <w:tc>
          <w:tcPr>
            <w:tcW w:w="1215" w:type="dxa"/>
            <w:shd w:val="clear" w:color="auto" w:fill="auto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top"/>
          </w:tcPr>
          <w:p>
            <w:pPr>
              <w:ind w:left="-283" w:leftChars="-135"/>
            </w:pPr>
          </w:p>
        </w:tc>
        <w:tc>
          <w:tcPr>
            <w:tcW w:w="1125" w:type="dxa"/>
            <w:shd w:val="clear" w:color="auto" w:fill="auto"/>
            <w:vAlign w:val="top"/>
          </w:tcPr>
          <w:p/>
        </w:tc>
        <w:tc>
          <w:tcPr>
            <w:tcW w:w="1455" w:type="dxa"/>
            <w:shd w:val="clear" w:color="auto" w:fill="auto"/>
            <w:vAlign w:val="top"/>
          </w:tcPr>
          <w:p/>
        </w:tc>
        <w:tc>
          <w:tcPr>
            <w:tcW w:w="1230" w:type="dxa"/>
            <w:shd w:val="clear" w:color="auto" w:fill="auto"/>
            <w:vAlign w:val="top"/>
          </w:tcPr>
          <w:p/>
        </w:tc>
        <w:tc>
          <w:tcPr>
            <w:tcW w:w="1275" w:type="dxa"/>
            <w:shd w:val="clear" w:color="auto" w:fill="auto"/>
            <w:vAlign w:val="top"/>
          </w:tcPr>
          <w:p/>
        </w:tc>
        <w:tc>
          <w:tcPr>
            <w:tcW w:w="1185" w:type="dxa"/>
            <w:shd w:val="clear" w:color="auto" w:fill="auto"/>
            <w:vAlign w:val="top"/>
          </w:tcPr>
          <w:p>
            <w:pPr>
              <w:ind w:right="-1667" w:rightChars="-794"/>
            </w:pPr>
          </w:p>
        </w:tc>
        <w:tc>
          <w:tcPr>
            <w:tcW w:w="1215" w:type="dxa"/>
            <w:shd w:val="clear" w:color="auto" w:fill="auto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top"/>
          </w:tcPr>
          <w:p>
            <w:pPr>
              <w:ind w:left="-283" w:leftChars="-135"/>
            </w:pPr>
          </w:p>
        </w:tc>
        <w:tc>
          <w:tcPr>
            <w:tcW w:w="1125" w:type="dxa"/>
            <w:shd w:val="clear" w:color="auto" w:fill="auto"/>
            <w:vAlign w:val="top"/>
          </w:tcPr>
          <w:p/>
        </w:tc>
        <w:tc>
          <w:tcPr>
            <w:tcW w:w="1455" w:type="dxa"/>
            <w:shd w:val="clear" w:color="auto" w:fill="auto"/>
            <w:vAlign w:val="top"/>
          </w:tcPr>
          <w:p/>
        </w:tc>
        <w:tc>
          <w:tcPr>
            <w:tcW w:w="1230" w:type="dxa"/>
            <w:shd w:val="clear" w:color="auto" w:fill="auto"/>
            <w:vAlign w:val="top"/>
          </w:tcPr>
          <w:p/>
        </w:tc>
        <w:tc>
          <w:tcPr>
            <w:tcW w:w="1275" w:type="dxa"/>
            <w:shd w:val="clear" w:color="auto" w:fill="auto"/>
            <w:vAlign w:val="top"/>
          </w:tcPr>
          <w:p/>
        </w:tc>
        <w:tc>
          <w:tcPr>
            <w:tcW w:w="1185" w:type="dxa"/>
            <w:shd w:val="clear" w:color="auto" w:fill="auto"/>
            <w:vAlign w:val="top"/>
          </w:tcPr>
          <w:p>
            <w:pPr>
              <w:ind w:right="-1667" w:rightChars="-794"/>
            </w:pPr>
          </w:p>
        </w:tc>
        <w:tc>
          <w:tcPr>
            <w:tcW w:w="1215" w:type="dxa"/>
            <w:shd w:val="clear" w:color="auto" w:fill="auto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top"/>
          </w:tcPr>
          <w:p>
            <w:pPr>
              <w:ind w:left="-283" w:leftChars="-135"/>
            </w:pPr>
          </w:p>
        </w:tc>
        <w:tc>
          <w:tcPr>
            <w:tcW w:w="1125" w:type="dxa"/>
            <w:shd w:val="clear" w:color="auto" w:fill="auto"/>
            <w:vAlign w:val="top"/>
          </w:tcPr>
          <w:p/>
        </w:tc>
        <w:tc>
          <w:tcPr>
            <w:tcW w:w="1455" w:type="dxa"/>
            <w:shd w:val="clear" w:color="auto" w:fill="auto"/>
            <w:vAlign w:val="top"/>
          </w:tcPr>
          <w:p/>
        </w:tc>
        <w:tc>
          <w:tcPr>
            <w:tcW w:w="1230" w:type="dxa"/>
            <w:shd w:val="clear" w:color="auto" w:fill="auto"/>
            <w:vAlign w:val="top"/>
          </w:tcPr>
          <w:p/>
        </w:tc>
        <w:tc>
          <w:tcPr>
            <w:tcW w:w="1275" w:type="dxa"/>
            <w:shd w:val="clear" w:color="auto" w:fill="auto"/>
            <w:vAlign w:val="top"/>
          </w:tcPr>
          <w:p/>
        </w:tc>
        <w:tc>
          <w:tcPr>
            <w:tcW w:w="1185" w:type="dxa"/>
            <w:shd w:val="clear" w:color="auto" w:fill="auto"/>
            <w:vAlign w:val="top"/>
          </w:tcPr>
          <w:p>
            <w:pPr>
              <w:ind w:right="-1667" w:rightChars="-794"/>
            </w:pPr>
          </w:p>
        </w:tc>
        <w:tc>
          <w:tcPr>
            <w:tcW w:w="1215" w:type="dxa"/>
            <w:shd w:val="clear" w:color="auto" w:fill="auto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top"/>
          </w:tcPr>
          <w:p>
            <w:pPr>
              <w:ind w:left="-283" w:leftChars="-135"/>
            </w:pPr>
          </w:p>
        </w:tc>
        <w:tc>
          <w:tcPr>
            <w:tcW w:w="1125" w:type="dxa"/>
            <w:shd w:val="clear" w:color="auto" w:fill="auto"/>
            <w:vAlign w:val="top"/>
          </w:tcPr>
          <w:p/>
        </w:tc>
        <w:tc>
          <w:tcPr>
            <w:tcW w:w="1455" w:type="dxa"/>
            <w:shd w:val="clear" w:color="auto" w:fill="auto"/>
            <w:vAlign w:val="top"/>
          </w:tcPr>
          <w:p/>
        </w:tc>
        <w:tc>
          <w:tcPr>
            <w:tcW w:w="1230" w:type="dxa"/>
            <w:shd w:val="clear" w:color="auto" w:fill="auto"/>
            <w:vAlign w:val="top"/>
          </w:tcPr>
          <w:p/>
        </w:tc>
        <w:tc>
          <w:tcPr>
            <w:tcW w:w="1275" w:type="dxa"/>
            <w:shd w:val="clear" w:color="auto" w:fill="auto"/>
            <w:vAlign w:val="top"/>
          </w:tcPr>
          <w:p/>
        </w:tc>
        <w:tc>
          <w:tcPr>
            <w:tcW w:w="1185" w:type="dxa"/>
            <w:shd w:val="clear" w:color="auto" w:fill="auto"/>
            <w:vAlign w:val="top"/>
          </w:tcPr>
          <w:p>
            <w:pPr>
              <w:ind w:right="-1667" w:rightChars="-794"/>
            </w:pPr>
          </w:p>
        </w:tc>
        <w:tc>
          <w:tcPr>
            <w:tcW w:w="1215" w:type="dxa"/>
            <w:shd w:val="clear" w:color="auto" w:fill="auto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top"/>
          </w:tcPr>
          <w:p>
            <w:pPr>
              <w:ind w:left="-283" w:leftChars="-135"/>
            </w:pPr>
          </w:p>
        </w:tc>
        <w:tc>
          <w:tcPr>
            <w:tcW w:w="1125" w:type="dxa"/>
            <w:shd w:val="clear" w:color="auto" w:fill="auto"/>
            <w:vAlign w:val="top"/>
          </w:tcPr>
          <w:p/>
        </w:tc>
        <w:tc>
          <w:tcPr>
            <w:tcW w:w="1455" w:type="dxa"/>
            <w:shd w:val="clear" w:color="auto" w:fill="auto"/>
            <w:vAlign w:val="top"/>
          </w:tcPr>
          <w:p/>
        </w:tc>
        <w:tc>
          <w:tcPr>
            <w:tcW w:w="1230" w:type="dxa"/>
            <w:shd w:val="clear" w:color="auto" w:fill="auto"/>
            <w:vAlign w:val="top"/>
          </w:tcPr>
          <w:p/>
        </w:tc>
        <w:tc>
          <w:tcPr>
            <w:tcW w:w="1275" w:type="dxa"/>
            <w:shd w:val="clear" w:color="auto" w:fill="auto"/>
            <w:vAlign w:val="top"/>
          </w:tcPr>
          <w:p/>
        </w:tc>
        <w:tc>
          <w:tcPr>
            <w:tcW w:w="1185" w:type="dxa"/>
            <w:shd w:val="clear" w:color="auto" w:fill="auto"/>
            <w:vAlign w:val="top"/>
          </w:tcPr>
          <w:p>
            <w:pPr>
              <w:ind w:right="-1667" w:rightChars="-794"/>
            </w:pPr>
          </w:p>
        </w:tc>
        <w:tc>
          <w:tcPr>
            <w:tcW w:w="1215" w:type="dxa"/>
            <w:shd w:val="clear" w:color="auto" w:fill="auto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top"/>
          </w:tcPr>
          <w:p>
            <w:pPr>
              <w:ind w:left="-283" w:leftChars="-135"/>
            </w:pPr>
          </w:p>
        </w:tc>
        <w:tc>
          <w:tcPr>
            <w:tcW w:w="1125" w:type="dxa"/>
            <w:shd w:val="clear" w:color="auto" w:fill="auto"/>
            <w:vAlign w:val="top"/>
          </w:tcPr>
          <w:p/>
        </w:tc>
        <w:tc>
          <w:tcPr>
            <w:tcW w:w="1455" w:type="dxa"/>
            <w:shd w:val="clear" w:color="auto" w:fill="auto"/>
            <w:vAlign w:val="top"/>
          </w:tcPr>
          <w:p/>
        </w:tc>
        <w:tc>
          <w:tcPr>
            <w:tcW w:w="1230" w:type="dxa"/>
            <w:shd w:val="clear" w:color="auto" w:fill="auto"/>
            <w:vAlign w:val="top"/>
          </w:tcPr>
          <w:p/>
        </w:tc>
        <w:tc>
          <w:tcPr>
            <w:tcW w:w="1275" w:type="dxa"/>
            <w:shd w:val="clear" w:color="auto" w:fill="auto"/>
            <w:vAlign w:val="top"/>
          </w:tcPr>
          <w:p/>
        </w:tc>
        <w:tc>
          <w:tcPr>
            <w:tcW w:w="1185" w:type="dxa"/>
            <w:shd w:val="clear" w:color="auto" w:fill="auto"/>
            <w:vAlign w:val="top"/>
          </w:tcPr>
          <w:p>
            <w:pPr>
              <w:ind w:right="-1667" w:rightChars="-794"/>
            </w:pPr>
          </w:p>
        </w:tc>
        <w:tc>
          <w:tcPr>
            <w:tcW w:w="1215" w:type="dxa"/>
            <w:shd w:val="clear" w:color="auto" w:fill="auto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top"/>
          </w:tcPr>
          <w:p>
            <w:pPr>
              <w:ind w:left="-283" w:leftChars="-135"/>
            </w:pPr>
          </w:p>
        </w:tc>
        <w:tc>
          <w:tcPr>
            <w:tcW w:w="1125" w:type="dxa"/>
            <w:shd w:val="clear" w:color="auto" w:fill="auto"/>
            <w:vAlign w:val="top"/>
          </w:tcPr>
          <w:p/>
        </w:tc>
        <w:tc>
          <w:tcPr>
            <w:tcW w:w="1455" w:type="dxa"/>
            <w:shd w:val="clear" w:color="auto" w:fill="auto"/>
            <w:vAlign w:val="top"/>
          </w:tcPr>
          <w:p/>
        </w:tc>
        <w:tc>
          <w:tcPr>
            <w:tcW w:w="1230" w:type="dxa"/>
            <w:shd w:val="clear" w:color="auto" w:fill="auto"/>
            <w:vAlign w:val="top"/>
          </w:tcPr>
          <w:p/>
        </w:tc>
        <w:tc>
          <w:tcPr>
            <w:tcW w:w="1275" w:type="dxa"/>
            <w:shd w:val="clear" w:color="auto" w:fill="auto"/>
            <w:vAlign w:val="top"/>
          </w:tcPr>
          <w:p/>
        </w:tc>
        <w:tc>
          <w:tcPr>
            <w:tcW w:w="1185" w:type="dxa"/>
            <w:shd w:val="clear" w:color="auto" w:fill="auto"/>
            <w:vAlign w:val="top"/>
          </w:tcPr>
          <w:p>
            <w:pPr>
              <w:ind w:right="-1667" w:rightChars="-794"/>
            </w:pPr>
          </w:p>
        </w:tc>
        <w:tc>
          <w:tcPr>
            <w:tcW w:w="1215" w:type="dxa"/>
            <w:shd w:val="clear" w:color="auto" w:fill="auto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top"/>
          </w:tcPr>
          <w:p>
            <w:pPr>
              <w:ind w:left="-283" w:leftChars="-135"/>
            </w:pPr>
          </w:p>
        </w:tc>
        <w:tc>
          <w:tcPr>
            <w:tcW w:w="1125" w:type="dxa"/>
            <w:shd w:val="clear" w:color="auto" w:fill="auto"/>
            <w:vAlign w:val="top"/>
          </w:tcPr>
          <w:p/>
        </w:tc>
        <w:tc>
          <w:tcPr>
            <w:tcW w:w="1455" w:type="dxa"/>
            <w:shd w:val="clear" w:color="auto" w:fill="auto"/>
            <w:vAlign w:val="top"/>
          </w:tcPr>
          <w:p/>
        </w:tc>
        <w:tc>
          <w:tcPr>
            <w:tcW w:w="1230" w:type="dxa"/>
            <w:shd w:val="clear" w:color="auto" w:fill="auto"/>
            <w:vAlign w:val="top"/>
          </w:tcPr>
          <w:p/>
        </w:tc>
        <w:tc>
          <w:tcPr>
            <w:tcW w:w="1275" w:type="dxa"/>
            <w:shd w:val="clear" w:color="auto" w:fill="auto"/>
            <w:vAlign w:val="top"/>
          </w:tcPr>
          <w:p/>
        </w:tc>
        <w:tc>
          <w:tcPr>
            <w:tcW w:w="1185" w:type="dxa"/>
            <w:shd w:val="clear" w:color="auto" w:fill="auto"/>
            <w:vAlign w:val="top"/>
          </w:tcPr>
          <w:p>
            <w:pPr>
              <w:ind w:right="-1667" w:rightChars="-794"/>
            </w:pPr>
          </w:p>
        </w:tc>
        <w:tc>
          <w:tcPr>
            <w:tcW w:w="1215" w:type="dxa"/>
            <w:shd w:val="clear" w:color="auto" w:fill="auto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top"/>
          </w:tcPr>
          <w:p>
            <w:pPr>
              <w:ind w:left="-283" w:leftChars="-135"/>
            </w:pPr>
          </w:p>
        </w:tc>
        <w:tc>
          <w:tcPr>
            <w:tcW w:w="1125" w:type="dxa"/>
            <w:shd w:val="clear" w:color="auto" w:fill="auto"/>
            <w:vAlign w:val="top"/>
          </w:tcPr>
          <w:p/>
        </w:tc>
        <w:tc>
          <w:tcPr>
            <w:tcW w:w="1455" w:type="dxa"/>
            <w:shd w:val="clear" w:color="auto" w:fill="auto"/>
            <w:vAlign w:val="top"/>
          </w:tcPr>
          <w:p/>
        </w:tc>
        <w:tc>
          <w:tcPr>
            <w:tcW w:w="1230" w:type="dxa"/>
            <w:shd w:val="clear" w:color="auto" w:fill="auto"/>
            <w:vAlign w:val="top"/>
          </w:tcPr>
          <w:p/>
        </w:tc>
        <w:tc>
          <w:tcPr>
            <w:tcW w:w="1275" w:type="dxa"/>
            <w:shd w:val="clear" w:color="auto" w:fill="auto"/>
            <w:vAlign w:val="top"/>
          </w:tcPr>
          <w:p/>
        </w:tc>
        <w:tc>
          <w:tcPr>
            <w:tcW w:w="1185" w:type="dxa"/>
            <w:shd w:val="clear" w:color="auto" w:fill="auto"/>
            <w:vAlign w:val="top"/>
          </w:tcPr>
          <w:p>
            <w:pPr>
              <w:ind w:right="-1667" w:rightChars="-794"/>
            </w:pPr>
          </w:p>
        </w:tc>
        <w:tc>
          <w:tcPr>
            <w:tcW w:w="1215" w:type="dxa"/>
            <w:shd w:val="clear" w:color="auto" w:fill="auto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top"/>
          </w:tcPr>
          <w:p>
            <w:pPr>
              <w:ind w:left="-283" w:leftChars="-135"/>
            </w:pPr>
          </w:p>
        </w:tc>
        <w:tc>
          <w:tcPr>
            <w:tcW w:w="1125" w:type="dxa"/>
            <w:shd w:val="clear" w:color="auto" w:fill="auto"/>
            <w:vAlign w:val="top"/>
          </w:tcPr>
          <w:p/>
        </w:tc>
        <w:tc>
          <w:tcPr>
            <w:tcW w:w="1455" w:type="dxa"/>
            <w:shd w:val="clear" w:color="auto" w:fill="auto"/>
            <w:vAlign w:val="top"/>
          </w:tcPr>
          <w:p/>
        </w:tc>
        <w:tc>
          <w:tcPr>
            <w:tcW w:w="1230" w:type="dxa"/>
            <w:shd w:val="clear" w:color="auto" w:fill="auto"/>
            <w:vAlign w:val="top"/>
          </w:tcPr>
          <w:p/>
        </w:tc>
        <w:tc>
          <w:tcPr>
            <w:tcW w:w="1275" w:type="dxa"/>
            <w:shd w:val="clear" w:color="auto" w:fill="auto"/>
            <w:vAlign w:val="top"/>
          </w:tcPr>
          <w:p/>
        </w:tc>
        <w:tc>
          <w:tcPr>
            <w:tcW w:w="1185" w:type="dxa"/>
            <w:shd w:val="clear" w:color="auto" w:fill="auto"/>
            <w:vAlign w:val="top"/>
          </w:tcPr>
          <w:p>
            <w:pPr>
              <w:ind w:right="-1667" w:rightChars="-794"/>
            </w:pPr>
          </w:p>
        </w:tc>
        <w:tc>
          <w:tcPr>
            <w:tcW w:w="1215" w:type="dxa"/>
            <w:shd w:val="clear" w:color="auto" w:fill="auto"/>
            <w:vAlign w:val="top"/>
          </w:tcPr>
          <w:p>
            <w:pPr>
              <w:rPr>
                <w:b/>
              </w:rPr>
            </w:pPr>
          </w:p>
        </w:tc>
      </w:tr>
    </w:tbl>
    <w:p>
      <w:pPr>
        <w:pStyle w:val="4"/>
        <w:numPr>
          <w:ilvl w:val="0"/>
          <w:numId w:val="1"/>
        </w:numPr>
        <w:ind w:right="-624" w:rightChars="-297" w:firstLineChars="0"/>
        <w:rPr>
          <w:rFonts w:hint="eastAsia"/>
        </w:rPr>
      </w:pPr>
      <w:bookmarkStart w:id="0" w:name="_GoBack"/>
      <w:bookmarkEnd w:id="0"/>
      <w:r>
        <w:rPr>
          <w:rFonts w:hint="eastAsia"/>
        </w:rPr>
        <w:t>申报人需为新闻作品的作者。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作品内容为“活动时间+事件”。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表格中的“校媒”指文澜新闻网、校报等校级媒体。“外媒”指校级以上各大媒体。如：湖北日报</w:t>
      </w:r>
      <w:r>
        <w:rPr>
          <w:rFonts w:hint="eastAsia"/>
          <w:lang w:eastAsia="zh-CN"/>
        </w:rPr>
        <w:t>等</w:t>
      </w:r>
      <w:r>
        <w:rPr>
          <w:rFonts w:hint="eastAsia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年度优秀新闻图片请在邮件中直接添加附件，图片名即为作品标题。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F6283"/>
    <w:multiLevelType w:val="multilevel"/>
    <w:tmpl w:val="581F628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E48C2"/>
    <w:rsid w:val="01CE48C2"/>
    <w:rsid w:val="2B50214C"/>
    <w:rsid w:val="56CD46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2016-12-07T03:30:00Z</dcterms:created>
  <dc:creator>Administrator</dc:creator>
  <cp:lastModifiedBy>John</cp:lastModifiedBy>
  <dcterms:modified xsi:type="dcterms:W3CDTF">2016-12-07T15:23:12Z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