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344A" w14:textId="4FA0AA10" w:rsidR="00DA4FA9" w:rsidRDefault="00DA4FA9" w:rsidP="00DA4FA9">
      <w:pPr>
        <w:widowControl/>
        <w:spacing w:line="60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9"/>
          <w:szCs w:val="29"/>
        </w:rPr>
      </w:pPr>
      <w:r w:rsidRPr="00DA4FA9">
        <w:rPr>
          <w:rFonts w:ascii="宋体" w:eastAsia="宋体" w:hAnsi="宋体" w:cs="宋体" w:hint="eastAsia"/>
          <w:b/>
          <w:bCs/>
          <w:color w:val="000000"/>
          <w:kern w:val="36"/>
          <w:sz w:val="29"/>
          <w:szCs w:val="29"/>
        </w:rPr>
        <w:t>金融学院本科生专业分流实施方案（试行）</w:t>
      </w:r>
    </w:p>
    <w:p w14:paraId="61A915A8" w14:textId="7228AF79" w:rsidR="00D638A1" w:rsidRPr="00D638A1" w:rsidRDefault="00D638A1" w:rsidP="00D638A1">
      <w:pPr>
        <w:widowControl/>
        <w:spacing w:before="100" w:beforeAutospacing="1" w:after="100" w:afterAutospacing="1"/>
        <w:jc w:val="center"/>
        <w:outlineLvl w:val="0"/>
        <w:rPr>
          <w:rFonts w:ascii="华文仿宋" w:eastAsia="华文仿宋" w:hAnsi="华文仿宋" w:hint="eastAsia"/>
          <w:b/>
          <w:bCs/>
          <w:color w:val="000000"/>
          <w:kern w:val="36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000000"/>
          <w:kern w:val="36"/>
          <w:sz w:val="24"/>
          <w:szCs w:val="24"/>
        </w:rPr>
        <w:t>（2</w:t>
      </w:r>
      <w:r>
        <w:rPr>
          <w:rFonts w:ascii="华文仿宋" w:eastAsia="华文仿宋" w:hAnsi="华文仿宋"/>
          <w:b/>
          <w:bCs/>
          <w:color w:val="000000"/>
          <w:kern w:val="36"/>
          <w:sz w:val="24"/>
          <w:szCs w:val="24"/>
        </w:rPr>
        <w:t>018年9</w:t>
      </w:r>
      <w:r>
        <w:rPr>
          <w:rFonts w:ascii="华文仿宋" w:eastAsia="华文仿宋" w:hAnsi="华文仿宋" w:hint="eastAsia"/>
          <w:b/>
          <w:bCs/>
          <w:color w:val="000000"/>
          <w:kern w:val="36"/>
          <w:sz w:val="24"/>
          <w:szCs w:val="24"/>
        </w:rPr>
        <w:t>月1</w:t>
      </w:r>
      <w:r>
        <w:rPr>
          <w:rFonts w:ascii="华文仿宋" w:eastAsia="华文仿宋" w:hAnsi="华文仿宋"/>
          <w:b/>
          <w:bCs/>
          <w:color w:val="000000"/>
          <w:kern w:val="36"/>
          <w:sz w:val="24"/>
          <w:szCs w:val="24"/>
        </w:rPr>
        <w:t>7日由金融学院党政联席会议审议通过</w:t>
      </w:r>
      <w:r>
        <w:rPr>
          <w:rFonts w:ascii="华文仿宋" w:eastAsia="华文仿宋" w:hAnsi="华文仿宋" w:hint="eastAsia"/>
          <w:b/>
          <w:bCs/>
          <w:color w:val="000000"/>
          <w:kern w:val="36"/>
          <w:sz w:val="24"/>
          <w:szCs w:val="24"/>
        </w:rPr>
        <w:t>）</w:t>
      </w:r>
    </w:p>
    <w:p w14:paraId="142CE67C" w14:textId="617DA02E" w:rsidR="00DA4FA9" w:rsidRPr="00DA4FA9" w:rsidRDefault="00DA4FA9" w:rsidP="00063D2E">
      <w:pPr>
        <w:widowControl/>
        <w:spacing w:line="42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DA4FA9">
        <w:rPr>
          <w:rFonts w:ascii="宋体" w:eastAsia="宋体" w:hAnsi="宋体" w:cs="Calibri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 第一条</w:t>
      </w:r>
      <w:r w:rsidRPr="00DA4FA9">
        <w:rPr>
          <w:rFonts w:ascii="宋体" w:eastAsia="宋体" w:hAnsi="宋体" w:cs="Calibri" w:hint="eastAsia"/>
          <w:color w:val="000000"/>
          <w:kern w:val="0"/>
          <w:sz w:val="24"/>
          <w:szCs w:val="24"/>
          <w:bdr w:val="none" w:sz="0" w:space="0" w:color="auto" w:frame="1"/>
        </w:rPr>
        <w:t> 为推进学院专业（类）招生与培养改革，提高学生学习的积极性、主动性，不断适应学生个性发展需要，切实做好本科生专业分流工作，根据《中南财经政法大学专业分流管理办法（试行）（中南大教字〔2018〕12号）》（以下简称“专业分流管理办法”）相关精神，结合学院实际，制定本实施方案。</w:t>
      </w:r>
    </w:p>
    <w:p w14:paraId="1992D03B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第二条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学院成立专业分流工作领导小组。学院党委书记、院长任组长，教学副院长、副书记任副组长，成员由学院教学指导委员会成员、各系主任、专业负责人、教学秘书、辅导员等组成。学院专业分流工作领导小组负责指导、监督和开展专业分流工作的各环节工作，具体包括专业分流工作的宣传动员、咨询、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上报分流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计划、分流志愿调研、确定专业分流名单等。</w:t>
      </w:r>
    </w:p>
    <w:p w14:paraId="304B2F37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第三条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学院专业分流工作坚持“公平、公正、公开”的原则，及时面向学生公布专业分流计划、工作方案、工作程序和分流结果等。</w:t>
      </w:r>
    </w:p>
    <w:p w14:paraId="4F5F2B45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第四条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分流对象。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高考按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专业类招生进入我院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金融学类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和管理科学与工程类学习的本科生，以及第二学期调整修读专业（类）转入我院相关专业类的本科生。</w:t>
      </w:r>
    </w:p>
    <w:p w14:paraId="110BCB30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以二次招生方式正式录取进入金融学专业（特许金融分析师方向）实验班以及金融学中美班（包括美国罗德岛大学项目、美国西乔治亚大学项目等中外合作办学项目）学习的学生不再参与专业分流。</w:t>
      </w:r>
    </w:p>
    <w:p w14:paraId="0C7EB11B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第五条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分流计划。学院根据各本科专业的办学条件、社会需求和专业发展情况，结合往届招生和就业情况，动态制定每年的专业分流计划。</w:t>
      </w:r>
    </w:p>
    <w:p w14:paraId="735D02EA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少数民族学生其专业分流计划数按实际人数单列，并按比例分配到各专业。</w:t>
      </w:r>
    </w:p>
    <w:p w14:paraId="5245CE5B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专业分流计划按学校审批后的计划执行。</w:t>
      </w:r>
    </w:p>
    <w:p w14:paraId="5B0A62EE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第六条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时间安排。专业分流工作在专业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类培养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第三学期内完成。第1-4周，启动专业分流的前期准备工作，工作任务包括宣传发动、接受咨询、上报专业分流计划等；第5-6周，开展专业分流志愿调研，公布各专业接收计划；第7-9周，学生填报专业分流志愿申请表，并受理特别申请者的专业分流志愿申请表及相关佐证材料；第10-12周，确定专业分流名单并公示，经公示无异议后上报教务部。</w:t>
      </w:r>
    </w:p>
    <w:p w14:paraId="3882378D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从第四学期开始，学生按分流后的专业进行培养，且原则上不得变更专业（方向）。</w:t>
      </w:r>
    </w:p>
    <w:p w14:paraId="7699F60F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第七条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分流依据。</w:t>
      </w:r>
    </w:p>
    <w:p w14:paraId="0B81957D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专业分流以学生综合成绩高低为考核依据。综合成绩由高考成绩和第一学年加权平均成绩计算。综合成绩的计算方法为：</w:t>
      </w:r>
    </w:p>
    <w:p w14:paraId="05508F97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综合成绩=高考成绩（百分制）×40%+第一学年加权平均成绩×60%。</w:t>
      </w:r>
    </w:p>
    <w:p w14:paraId="7EA149A7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其中，高考成绩（百分制）=（高考成绩/生源地高考满分）×100；第一学年加权平均成绩为第一学年所修全部课程的加权平均成绩（以教务系统的计算结果为准）。</w:t>
      </w:r>
    </w:p>
    <w:p w14:paraId="0C93758C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第一学年课程初次考试有缓考的，以缓考成绩为准；第一学年课程有重修情况的，以初次考试成绩为准。各项成绩的计算结果保留2位小数。</w:t>
      </w:r>
    </w:p>
    <w:p w14:paraId="1011224D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若综合成绩相同，则按第一学年加权平均成绩高低排序；若第一学年加权平均成绩相同，则根据微积分（上、下）和大学英语（1、2）共4门课程的平均成绩高低排序。</w:t>
      </w:r>
    </w:p>
    <w:p w14:paraId="7C5D9E6A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第八条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志愿填写。学生根据专业兴趣爱好及职业规划，结合综合成绩排名及专业分流计划，在本专业类所属专业（方向）内填报专业分流志愿，不得跨类填报志愿。</w:t>
      </w:r>
    </w:p>
    <w:p w14:paraId="2E933C6C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金融学类包括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5个专业（方向）：金融学、金融工程、投资学、保险学、保险学（保险精算方向）。该类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学生限填3个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正式专业志愿和2个补充专业志愿，形成专业志愿序。其中，金融工程专业只限高考理科生填报（综合改革试点地区的生源不受此限制）。</w:t>
      </w:r>
    </w:p>
    <w:p w14:paraId="6181D512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管理科学与工程类包括3个专业：房地产开发与管理、工程管理、工程造价。该类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学生限填2个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正式专业志愿和1个补充专业志愿，形成专业志愿序。</w:t>
      </w:r>
    </w:p>
    <w:p w14:paraId="4CD80B93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每位学生应按要求填写专业分流志愿表，且所填各专业志愿（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含正式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志愿与补充志愿）不得重复。未按规定填写的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志愿表需重新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按要求填写。</w:t>
      </w:r>
    </w:p>
    <w:p w14:paraId="1740DFCB" w14:textId="3C24D595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第九条</w:t>
      </w:r>
      <w:r w:rsidR="00390C1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390C1A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特别申请。拟通过特别申请优先选择专业（方向）的学生必须满足《中南财经政法大学专业分流管理办法（试行）（中南大教字〔2018〕12号）》第十三条之规定，学院专业分流工作小组组织专家面试，审核同意后可优先选择专业（方向）。经过特别申请通道优先选择专业（方向）的学生比例不超过专业分流计划数的3%。</w:t>
      </w:r>
    </w:p>
    <w:p w14:paraId="2ED63CF9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第十条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专业分流程序。</w:t>
      </w:r>
    </w:p>
    <w:p w14:paraId="6BEDE835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（一）第一轮：满足特别申请条件且通过审核的学生优先确定其分流专业（方向）；</w:t>
      </w:r>
    </w:p>
    <w:p w14:paraId="20F22B99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（二）第二轮：根据学生综合成绩高低排序，在相关专业接收计划控制数内，按照填报的正式专业志愿顺序，依次确定分流专业。</w:t>
      </w:r>
      <w:proofErr w:type="gramStart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若学</w:t>
      </w:r>
      <w:proofErr w:type="gramEnd"/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生所填报的正式专业志愿中，依序有一个专业满足，则该生专业分流成功。若依据所填报的正式专业志愿均未被成功分流，则按其补充专业志愿顺序确定分流专业，直至本专业类别所有学生分流完毕。</w:t>
      </w:r>
    </w:p>
    <w:p w14:paraId="057F4741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少数民族学生的专业分流程序参照本条执行。</w:t>
      </w:r>
    </w:p>
    <w:p w14:paraId="7EDD44B4" w14:textId="3441D64E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具体分流流程参见</w:t>
      </w:r>
      <w:r w:rsidR="00D61E9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《</w:t>
      </w:r>
      <w:r w:rsidR="00D61E95" w:rsidRPr="00C175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金融学院本科专业分流</w:t>
      </w:r>
      <w:r w:rsidR="00B138A7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流</w:t>
      </w:r>
      <w:r w:rsidR="00D61E95" w:rsidRPr="00C175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程图</w:t>
      </w:r>
      <w:r w:rsidR="00D61E9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》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14:paraId="09A1A129" w14:textId="77777777" w:rsidR="00DA4FA9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第十一条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本办法由金融学院专业分流工作小组制定，经学院党政联席会议审议通过并报教务部备案，由金融学院专业分流工作小组负责解释。</w:t>
      </w:r>
    </w:p>
    <w:p w14:paraId="284788B5" w14:textId="5506C7CD" w:rsidR="00877F02" w:rsidRPr="00DA4FA9" w:rsidRDefault="00DA4FA9" w:rsidP="00063D2E">
      <w:pPr>
        <w:widowControl/>
        <w:spacing w:line="420" w:lineRule="atLeast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DA4FA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第十二条 </w:t>
      </w:r>
      <w:r w:rsidRPr="00DA4FA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本办法自2018年9月17日起施行。</w:t>
      </w:r>
    </w:p>
    <w:sectPr w:rsidR="00877F02" w:rsidRPr="00DA4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913C" w14:textId="77777777" w:rsidR="00B04677" w:rsidRDefault="00B04677" w:rsidP="00DA4FA9">
      <w:r>
        <w:separator/>
      </w:r>
    </w:p>
  </w:endnote>
  <w:endnote w:type="continuationSeparator" w:id="0">
    <w:p w14:paraId="2EDAED83" w14:textId="77777777" w:rsidR="00B04677" w:rsidRDefault="00B04677" w:rsidP="00D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2764" w14:textId="77777777" w:rsidR="00B04677" w:rsidRDefault="00B04677" w:rsidP="00DA4FA9">
      <w:r>
        <w:separator/>
      </w:r>
    </w:p>
  </w:footnote>
  <w:footnote w:type="continuationSeparator" w:id="0">
    <w:p w14:paraId="2AC3388D" w14:textId="77777777" w:rsidR="00B04677" w:rsidRDefault="00B04677" w:rsidP="00DA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C0"/>
    <w:rsid w:val="00063D2E"/>
    <w:rsid w:val="001D59AA"/>
    <w:rsid w:val="00390C1A"/>
    <w:rsid w:val="00534CC0"/>
    <w:rsid w:val="00860240"/>
    <w:rsid w:val="00877F02"/>
    <w:rsid w:val="00B04677"/>
    <w:rsid w:val="00B138A7"/>
    <w:rsid w:val="00B52604"/>
    <w:rsid w:val="00C175B3"/>
    <w:rsid w:val="00D61E95"/>
    <w:rsid w:val="00D638A1"/>
    <w:rsid w:val="00D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1473D"/>
  <w15:chartTrackingRefBased/>
  <w15:docId w15:val="{B9354E33-4580-436D-B281-C3AB4A8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A4F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FA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A4F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DA4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DA4FA9"/>
  </w:style>
  <w:style w:type="character" w:customStyle="1" w:styleId="artiviews">
    <w:name w:val="arti_views"/>
    <w:basedOn w:val="a0"/>
    <w:rsid w:val="00DA4FA9"/>
  </w:style>
  <w:style w:type="character" w:customStyle="1" w:styleId="wpvisitcount">
    <w:name w:val="wp_visitcount"/>
    <w:basedOn w:val="a0"/>
    <w:rsid w:val="00DA4FA9"/>
  </w:style>
  <w:style w:type="paragraph" w:styleId="a7">
    <w:name w:val="Normal (Web)"/>
    <w:basedOn w:val="a"/>
    <w:uiPriority w:val="99"/>
    <w:semiHidden/>
    <w:unhideWhenUsed/>
    <w:rsid w:val="00DA4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A4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YangZhen</dc:creator>
  <cp:keywords/>
  <dc:description/>
  <cp:lastModifiedBy>YangZhen</cp:lastModifiedBy>
  <cp:revision>22</cp:revision>
  <dcterms:created xsi:type="dcterms:W3CDTF">2019-10-08T06:29:00Z</dcterms:created>
  <dcterms:modified xsi:type="dcterms:W3CDTF">2019-10-08T08:05:00Z</dcterms:modified>
</cp:coreProperties>
</file>